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10" w:rsidRDefault="00B510E1">
      <w:pPr>
        <w:widowControl w:val="0"/>
        <w:spacing w:line="240" w:lineRule="auto"/>
        <w:ind w:right="41"/>
        <w:jc w:val="right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19050" distB="19050" distL="19050" distR="19050">
            <wp:extent cx="880745" cy="6254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1133" cy="625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810" w:rsidRDefault="00B510E1">
      <w:pPr>
        <w:widowControl w:val="0"/>
        <w:spacing w:before="375" w:line="240" w:lineRule="auto"/>
        <w:ind w:left="3"/>
        <w:rPr>
          <w:color w:val="000000"/>
          <w:sz w:val="32"/>
          <w:szCs w:val="32"/>
        </w:rPr>
      </w:pPr>
      <w:r>
        <w:rPr>
          <w:sz w:val="32"/>
          <w:szCs w:val="32"/>
        </w:rPr>
        <w:t>Wiedeńskie tezy polityki językowej</w:t>
      </w:r>
      <w:r>
        <w:rPr>
          <w:color w:val="000000"/>
          <w:sz w:val="32"/>
          <w:szCs w:val="32"/>
        </w:rPr>
        <w:t xml:space="preserve"> – </w:t>
      </w:r>
    </w:p>
    <w:p w:rsidR="00784810" w:rsidRDefault="00B510E1">
      <w:pPr>
        <w:widowControl w:val="0"/>
        <w:spacing w:before="56" w:line="240" w:lineRule="auto"/>
        <w:ind w:left="24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11+1 </w:t>
      </w:r>
      <w:r>
        <w:rPr>
          <w:color w:val="000000" w:themeColor="text1"/>
          <w:sz w:val="26"/>
          <w:szCs w:val="26"/>
        </w:rPr>
        <w:t>Postulatów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dla </w:t>
      </w:r>
      <w:r>
        <w:rPr>
          <w:color w:val="000000" w:themeColor="text1"/>
          <w:sz w:val="26"/>
          <w:szCs w:val="26"/>
        </w:rPr>
        <w:t>wzmocnienia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partycypacji społecznej</w:t>
      </w:r>
      <w:r>
        <w:rPr>
          <w:color w:val="000000" w:themeColor="text1"/>
          <w:sz w:val="26"/>
          <w:szCs w:val="26"/>
        </w:rPr>
        <w:t xml:space="preserve"> </w:t>
      </w:r>
    </w:p>
    <w:p w:rsidR="00784810" w:rsidRDefault="00B510E1">
      <w:pPr>
        <w:widowControl w:val="0"/>
        <w:spacing w:before="521" w:line="275" w:lineRule="auto"/>
        <w:ind w:left="1" w:right="14" w:firstLine="13"/>
        <w:rPr>
          <w:color w:val="1155CC"/>
          <w:sz w:val="20"/>
          <w:szCs w:val="20"/>
          <w:highlight w:val="white"/>
          <w:u w:val="single"/>
        </w:rPr>
      </w:pPr>
      <w:r>
        <w:rPr>
          <w:color w:val="000000" w:themeColor="text1"/>
          <w:sz w:val="20"/>
          <w:szCs w:val="20"/>
          <w:highlight w:val="white"/>
        </w:rPr>
        <w:t xml:space="preserve">Wiedeńskie tezy dotyczące polityki językowej zostały opracowane w </w:t>
      </w:r>
      <w:r>
        <w:rPr>
          <w:color w:val="000000" w:themeColor="text1"/>
          <w:sz w:val="20"/>
          <w:szCs w:val="20"/>
          <w:highlight w:val="white"/>
        </w:rPr>
        <w:t xml:space="preserve">przededniu </w:t>
      </w:r>
      <w:r>
        <w:rPr>
          <w:color w:val="000000" w:themeColor="text1"/>
          <w:sz w:val="20"/>
          <w:szCs w:val="20"/>
          <w:highlight w:val="white"/>
        </w:rPr>
        <w:t xml:space="preserve"> XVII Międzynarodow</w:t>
      </w:r>
      <w:r>
        <w:rPr>
          <w:color w:val="000000" w:themeColor="text1"/>
          <w:sz w:val="20"/>
          <w:szCs w:val="20"/>
          <w:highlight w:val="white"/>
        </w:rPr>
        <w:t>ych</w:t>
      </w:r>
      <w:r>
        <w:rPr>
          <w:color w:val="000000" w:themeColor="text1"/>
          <w:sz w:val="20"/>
          <w:szCs w:val="20"/>
          <w:highlight w:val="white"/>
        </w:rPr>
        <w:t xml:space="preserve"> Spotka</w:t>
      </w:r>
      <w:r>
        <w:rPr>
          <w:color w:val="000000" w:themeColor="text1"/>
          <w:sz w:val="20"/>
          <w:szCs w:val="20"/>
          <w:highlight w:val="white"/>
        </w:rPr>
        <w:t>ń</w:t>
      </w:r>
      <w:r>
        <w:rPr>
          <w:color w:val="000000" w:themeColor="text1"/>
          <w:sz w:val="20"/>
          <w:szCs w:val="20"/>
          <w:highlight w:val="white"/>
        </w:rPr>
        <w:t xml:space="preserve"> </w:t>
      </w:r>
      <w:r>
        <w:rPr>
          <w:color w:val="000000" w:themeColor="text1"/>
          <w:sz w:val="20"/>
          <w:szCs w:val="20"/>
          <w:highlight w:val="white"/>
        </w:rPr>
        <w:t xml:space="preserve">Nauczycielek i </w:t>
      </w:r>
      <w:r>
        <w:rPr>
          <w:color w:val="000000" w:themeColor="text1"/>
          <w:sz w:val="20"/>
          <w:szCs w:val="20"/>
          <w:highlight w:val="white"/>
        </w:rPr>
        <w:t xml:space="preserve">Nauczycieli </w:t>
      </w:r>
      <w:r>
        <w:rPr>
          <w:color w:val="000000" w:themeColor="text1"/>
          <w:sz w:val="20"/>
          <w:szCs w:val="20"/>
          <w:highlight w:val="white"/>
        </w:rPr>
        <w:t>Języka Niemieckiego</w:t>
      </w:r>
      <w:r>
        <w:rPr>
          <w:color w:val="000000" w:themeColor="text1"/>
          <w:sz w:val="20"/>
          <w:szCs w:val="20"/>
          <w:highlight w:val="white"/>
        </w:rPr>
        <w:t xml:space="preserve"> w Wiedniu (IDT 2022) przez międzynarodową </w:t>
      </w:r>
      <w:r>
        <w:rPr>
          <w:sz w:val="20"/>
          <w:szCs w:val="20"/>
          <w:highlight w:val="white"/>
        </w:rPr>
        <w:t xml:space="preserve">grupę ekspertów (patrz </w:t>
      </w:r>
      <w:r>
        <w:rPr>
          <w:color w:val="1155CC"/>
          <w:sz w:val="20"/>
          <w:szCs w:val="20"/>
          <w:highlight w:val="white"/>
          <w:u w:val="single"/>
        </w:rPr>
        <w:t>Link</w:t>
      </w:r>
      <w:r>
        <w:rPr>
          <w:sz w:val="20"/>
          <w:szCs w:val="20"/>
          <w:highlight w:val="white"/>
        </w:rPr>
        <w:t>). Zostaną one przedstawione w ramach IDT 2022 i przyjęte na imprezie finałowej 20 sierpnia 2022 r. Tezy są skierowane zarówno do świata polityki, jak i biznesu. Podążają za mottem spotk</w:t>
      </w:r>
      <w:r>
        <w:rPr>
          <w:sz w:val="20"/>
          <w:szCs w:val="20"/>
          <w:highlight w:val="white"/>
        </w:rPr>
        <w:t xml:space="preserve">ania </w:t>
      </w:r>
      <w:r>
        <w:rPr>
          <w:color w:val="1155CC"/>
          <w:sz w:val="20"/>
          <w:szCs w:val="20"/>
          <w:highlight w:val="white"/>
          <w:u w:val="single"/>
        </w:rPr>
        <w:t>*mit.sp</w:t>
      </w:r>
      <w:r>
        <w:rPr>
          <w:color w:val="1155CC"/>
          <w:sz w:val="20"/>
          <w:szCs w:val="20"/>
          <w:highlight w:val="white"/>
          <w:u w:val="single"/>
        </w:rPr>
        <w:t>r</w:t>
      </w:r>
      <w:r>
        <w:rPr>
          <w:color w:val="1155CC"/>
          <w:sz w:val="20"/>
          <w:szCs w:val="20"/>
          <w:highlight w:val="white"/>
          <w:u w:val="single"/>
        </w:rPr>
        <w:t xml:space="preserve">ache.teil.haben </w:t>
      </w:r>
    </w:p>
    <w:p w:rsidR="00784810" w:rsidRDefault="00B510E1">
      <w:pPr>
        <w:widowControl w:val="0"/>
        <w:spacing w:before="521" w:line="275" w:lineRule="auto"/>
        <w:ind w:left="1" w:right="14" w:firstLine="13"/>
        <w:rPr>
          <w:color w:val="000000" w:themeColor="text1"/>
          <w:sz w:val="20"/>
          <w:szCs w:val="20"/>
          <w:highlight w:val="white"/>
        </w:rPr>
      </w:pPr>
      <w:r>
        <w:rPr>
          <w:color w:val="000000" w:themeColor="text1"/>
          <w:sz w:val="20"/>
          <w:szCs w:val="20"/>
          <w:highlight w:val="white"/>
        </w:rPr>
        <w:t>Głównym</w:t>
      </w:r>
      <w:r>
        <w:rPr>
          <w:color w:val="000000" w:themeColor="text1"/>
          <w:sz w:val="20"/>
          <w:szCs w:val="20"/>
          <w:highlight w:val="white"/>
        </w:rPr>
        <w:t xml:space="preserve"> </w:t>
      </w:r>
      <w:r>
        <w:rPr>
          <w:color w:val="000000" w:themeColor="text1"/>
          <w:sz w:val="20"/>
          <w:szCs w:val="20"/>
          <w:highlight w:val="white"/>
        </w:rPr>
        <w:t>celem nauki i nauczania języków obcych oraz kształcenia językowego powiązanego z nauką zawodową jest rozwijanie umiejętności dyskursu, któr</w:t>
      </w:r>
      <w:r>
        <w:rPr>
          <w:color w:val="000000" w:themeColor="text1"/>
          <w:sz w:val="20"/>
          <w:szCs w:val="20"/>
          <w:highlight w:val="white"/>
        </w:rPr>
        <w:t>y</w:t>
      </w:r>
      <w:r>
        <w:rPr>
          <w:color w:val="000000" w:themeColor="text1"/>
          <w:sz w:val="20"/>
          <w:szCs w:val="20"/>
          <w:highlight w:val="white"/>
        </w:rPr>
        <w:t xml:space="preserve"> umożliwia i </w:t>
      </w:r>
      <w:r>
        <w:rPr>
          <w:color w:val="000000" w:themeColor="text1"/>
          <w:sz w:val="20"/>
          <w:szCs w:val="20"/>
          <w:highlight w:val="white"/>
          <w:lang w:val="de-DE"/>
        </w:rPr>
        <w:t>wspiera</w:t>
      </w:r>
      <w:r>
        <w:rPr>
          <w:color w:val="000000" w:themeColor="text1"/>
          <w:sz w:val="20"/>
          <w:szCs w:val="20"/>
          <w:highlight w:val="white"/>
        </w:rPr>
        <w:t xml:space="preserve"> odpowiedzialne uczestnictwo</w:t>
      </w:r>
      <w:r>
        <w:rPr>
          <w:color w:val="000000" w:themeColor="text1"/>
          <w:sz w:val="20"/>
          <w:szCs w:val="20"/>
          <w:highlight w:val="white"/>
        </w:rPr>
        <w:t xml:space="preserve"> </w:t>
      </w:r>
      <w:r>
        <w:rPr>
          <w:color w:val="000000" w:themeColor="text1"/>
          <w:sz w:val="20"/>
          <w:szCs w:val="20"/>
          <w:highlight w:val="white"/>
        </w:rPr>
        <w:t xml:space="preserve">w procesach decyzyjnych oraz </w:t>
      </w:r>
      <w:r>
        <w:rPr>
          <w:color w:val="000000" w:themeColor="text1"/>
          <w:sz w:val="20"/>
          <w:szCs w:val="20"/>
          <w:highlight w:val="white"/>
        </w:rPr>
        <w:t>równoprawny udział w życiu społecznym.</w:t>
      </w:r>
    </w:p>
    <w:p w:rsidR="00784810" w:rsidRDefault="00784810">
      <w:pPr>
        <w:widowControl w:val="0"/>
        <w:spacing w:before="521" w:line="240" w:lineRule="auto"/>
        <w:ind w:left="1" w:right="14" w:firstLine="13"/>
        <w:rPr>
          <w:color w:val="000000" w:themeColor="text1"/>
          <w:sz w:val="20"/>
          <w:szCs w:val="20"/>
          <w:highlight w:val="white"/>
        </w:rPr>
      </w:pPr>
    </w:p>
    <w:p w:rsidR="00784810" w:rsidRDefault="00B510E1">
      <w:pPr>
        <w:widowControl w:val="0"/>
        <w:numPr>
          <w:ilvl w:val="0"/>
          <w:numId w:val="1"/>
        </w:numPr>
        <w:spacing w:before="17" w:line="274" w:lineRule="auto"/>
        <w:ind w:right="19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Nauka języka niemieckiego odbywa się w </w:t>
      </w:r>
      <w:r>
        <w:rPr>
          <w:b/>
          <w:color w:val="000000" w:themeColor="text1"/>
          <w:sz w:val="20"/>
          <w:szCs w:val="20"/>
        </w:rPr>
        <w:t>wielojęzycznym społeczeństwie</w:t>
      </w:r>
      <w:r>
        <w:rPr>
          <w:color w:val="000000" w:themeColor="text1"/>
          <w:sz w:val="20"/>
          <w:szCs w:val="20"/>
        </w:rPr>
        <w:t xml:space="preserve">. Sami </w:t>
      </w:r>
      <w:r>
        <w:rPr>
          <w:color w:val="000000" w:themeColor="text1"/>
          <w:sz w:val="20"/>
          <w:szCs w:val="20"/>
        </w:rPr>
        <w:t xml:space="preserve">uczący się </w:t>
      </w:r>
      <w:r>
        <w:rPr>
          <w:color w:val="000000" w:themeColor="text1"/>
          <w:sz w:val="20"/>
          <w:szCs w:val="20"/>
        </w:rPr>
        <w:t>wnoszą do zajęć wielojęzyczne i wielokulturowe doświadczenia i kompetencje, które należy wziąć pod uwagę. Musi to wspierać polityka językowa uwzględniająca zasoby społeczne i indywidualne oraz globalne i regionalne perspektywy i uwarunkowania. Różnorodność</w:t>
      </w:r>
      <w:r>
        <w:rPr>
          <w:color w:val="000000" w:themeColor="text1"/>
          <w:sz w:val="20"/>
          <w:szCs w:val="20"/>
        </w:rPr>
        <w:t xml:space="preserve"> językowa i kulturowa społeczeństwa musi znaleźć odzwierciedlenie w projektowaniu materiałów dydaktycznych i ofert edukacyjnych, programach nauczania, wyborze treści nauczania, </w:t>
      </w:r>
      <w:r>
        <w:rPr>
          <w:color w:val="000000" w:themeColor="text1"/>
          <w:sz w:val="20"/>
          <w:szCs w:val="20"/>
        </w:rPr>
        <w:t>doskonaleniu zawodowym i dalszym rozwoju</w:t>
      </w:r>
      <w:r>
        <w:rPr>
          <w:color w:val="000000" w:themeColor="text1"/>
          <w:sz w:val="20"/>
          <w:szCs w:val="20"/>
        </w:rPr>
        <w:t xml:space="preserve"> oraz w badaniach naukowych.</w:t>
      </w:r>
    </w:p>
    <w:p w:rsidR="00784810" w:rsidRDefault="00B510E1">
      <w:pPr>
        <w:widowControl w:val="0"/>
        <w:numPr>
          <w:ilvl w:val="0"/>
          <w:numId w:val="1"/>
        </w:numPr>
        <w:spacing w:line="274" w:lineRule="auto"/>
        <w:ind w:right="19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Należy uła</w:t>
      </w:r>
      <w:r>
        <w:rPr>
          <w:color w:val="000000" w:themeColor="text1"/>
          <w:sz w:val="20"/>
          <w:szCs w:val="20"/>
        </w:rPr>
        <w:t xml:space="preserve">twiać i wspierać </w:t>
      </w:r>
      <w:r>
        <w:rPr>
          <w:b/>
          <w:color w:val="000000" w:themeColor="text1"/>
          <w:sz w:val="20"/>
          <w:szCs w:val="20"/>
        </w:rPr>
        <w:t>współpracę międzynarodową</w:t>
      </w:r>
      <w:r>
        <w:rPr>
          <w:color w:val="000000" w:themeColor="text1"/>
          <w:sz w:val="20"/>
          <w:szCs w:val="20"/>
        </w:rPr>
        <w:t xml:space="preserve"> pod względem finansowym i strukturalnym. Jest ona skuteczna szczególnie wtedy, gdy wszystkie strony mają równe prawa, a współpraca opiera się na otwartej i przejrzystej wymianie, w której należy zapewnić odpowiedn</w:t>
      </w:r>
      <w:r>
        <w:rPr>
          <w:color w:val="000000" w:themeColor="text1"/>
          <w:sz w:val="20"/>
          <w:szCs w:val="20"/>
        </w:rPr>
        <w:t xml:space="preserve">ie warunki ramowe. Szczególnego wsparcia i uznania wymagają stowarzyszenia </w:t>
      </w:r>
      <w:r>
        <w:rPr>
          <w:color w:val="000000" w:themeColor="text1"/>
          <w:sz w:val="20"/>
          <w:szCs w:val="20"/>
        </w:rPr>
        <w:t>fachowe</w:t>
      </w:r>
      <w:r>
        <w:rPr>
          <w:color w:val="000000" w:themeColor="text1"/>
          <w:sz w:val="20"/>
          <w:szCs w:val="20"/>
        </w:rPr>
        <w:t xml:space="preserve"> zajmujące się językiem niemieckim jako obcym i/lub drugim językiem</w:t>
      </w:r>
      <w:r>
        <w:rPr>
          <w:color w:val="000000" w:themeColor="text1"/>
          <w:sz w:val="20"/>
          <w:szCs w:val="20"/>
        </w:rPr>
        <w:t xml:space="preserve"> obcym</w:t>
      </w:r>
      <w:r>
        <w:rPr>
          <w:color w:val="000000" w:themeColor="text1"/>
          <w:sz w:val="20"/>
          <w:szCs w:val="20"/>
        </w:rPr>
        <w:t xml:space="preserve">, tak aby </w:t>
      </w:r>
      <w:r>
        <w:rPr>
          <w:color w:val="000000" w:themeColor="text1"/>
          <w:sz w:val="20"/>
          <w:szCs w:val="20"/>
        </w:rPr>
        <w:t xml:space="preserve">dzięki swojej wzmocnionej pozycji </w:t>
      </w:r>
      <w:r>
        <w:rPr>
          <w:color w:val="000000" w:themeColor="text1"/>
          <w:sz w:val="20"/>
          <w:szCs w:val="20"/>
        </w:rPr>
        <w:t>mogły one wypełniać swoje zadania związane z tworzeniem s</w:t>
      </w:r>
      <w:r>
        <w:rPr>
          <w:color w:val="000000" w:themeColor="text1"/>
          <w:sz w:val="20"/>
          <w:szCs w:val="20"/>
        </w:rPr>
        <w:t>ieci kontaktów i przekazywaniem wiedzy specjalistycznej.</w:t>
      </w:r>
    </w:p>
    <w:p w:rsidR="00784810" w:rsidRDefault="00B510E1">
      <w:pPr>
        <w:widowControl w:val="0"/>
        <w:numPr>
          <w:ilvl w:val="0"/>
          <w:numId w:val="1"/>
        </w:numPr>
        <w:spacing w:line="274" w:lineRule="auto"/>
        <w:ind w:right="19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Główną zasadą nauki i nauczania języka niemieckiego musi być idea </w:t>
      </w:r>
      <w:r>
        <w:rPr>
          <w:b/>
          <w:color w:val="000000" w:themeColor="text1"/>
          <w:sz w:val="20"/>
          <w:szCs w:val="20"/>
        </w:rPr>
        <w:t>empowerment</w:t>
      </w:r>
      <w:r>
        <w:rPr>
          <w:b/>
          <w:color w:val="000000" w:themeColor="text1"/>
          <w:sz w:val="20"/>
          <w:szCs w:val="20"/>
        </w:rPr>
        <w:t>u</w:t>
      </w:r>
      <w:r>
        <w:rPr>
          <w:color w:val="000000" w:themeColor="text1"/>
          <w:sz w:val="20"/>
          <w:szCs w:val="20"/>
        </w:rPr>
        <w:t>, czyli budowani</w:t>
      </w:r>
      <w:r>
        <w:rPr>
          <w:color w:val="000000" w:themeColor="text1"/>
          <w:sz w:val="20"/>
          <w:szCs w:val="20"/>
        </w:rPr>
        <w:t>a</w:t>
      </w:r>
      <w:r>
        <w:rPr>
          <w:color w:val="000000" w:themeColor="text1"/>
          <w:sz w:val="20"/>
          <w:szCs w:val="20"/>
        </w:rPr>
        <w:t xml:space="preserve"> kompetencji językowych, które od samego początku są nastawione na samodzielne dalsze uczenie się i ucze</w:t>
      </w:r>
      <w:r>
        <w:rPr>
          <w:color w:val="000000" w:themeColor="text1"/>
          <w:sz w:val="20"/>
          <w:szCs w:val="20"/>
        </w:rPr>
        <w:t xml:space="preserve">stnictwo </w:t>
      </w:r>
      <w:r>
        <w:rPr>
          <w:color w:val="000000" w:themeColor="text1"/>
          <w:sz w:val="20"/>
          <w:szCs w:val="20"/>
        </w:rPr>
        <w:t>w życiu społecznym i zawodowym</w:t>
      </w:r>
      <w:r>
        <w:rPr>
          <w:color w:val="000000" w:themeColor="text1"/>
          <w:sz w:val="20"/>
          <w:szCs w:val="20"/>
        </w:rPr>
        <w:t>. Różnorodność zainteresowań i potrzeb osób uczących się musi być zaspokajana poprzez</w:t>
      </w:r>
      <w:r>
        <w:rPr>
          <w:color w:val="000000" w:themeColor="text1"/>
          <w:sz w:val="20"/>
          <w:szCs w:val="20"/>
        </w:rPr>
        <w:t xml:space="preserve"> różnorodną</w:t>
      </w:r>
      <w:r>
        <w:rPr>
          <w:color w:val="000000" w:themeColor="text1"/>
          <w:sz w:val="20"/>
          <w:szCs w:val="20"/>
        </w:rPr>
        <w:t xml:space="preserve"> ofertę dostosowaną do potrzeb. Nie są one „zasobami ludzkimi”, ale muszą być postrzegane i chronione jako podmioty w ich</w:t>
      </w:r>
      <w:r>
        <w:rPr>
          <w:color w:val="000000" w:themeColor="text1"/>
          <w:sz w:val="20"/>
          <w:szCs w:val="20"/>
        </w:rPr>
        <w:t xml:space="preserve"> godności ludzkiej. Dotyczy to zarówno nauczania języka niemieckiego</w:t>
      </w:r>
      <w:r>
        <w:rPr>
          <w:color w:val="000000" w:themeColor="text1"/>
          <w:sz w:val="20"/>
          <w:szCs w:val="20"/>
        </w:rPr>
        <w:t xml:space="preserve"> zawodowego</w:t>
      </w:r>
      <w:r>
        <w:rPr>
          <w:color w:val="000000" w:themeColor="text1"/>
          <w:sz w:val="20"/>
          <w:szCs w:val="20"/>
        </w:rPr>
        <w:t>, jak i kształcenia dorosłych, a także nauczania i uczenia się języków w ogóle.</w:t>
      </w:r>
    </w:p>
    <w:p w:rsidR="00784810" w:rsidRDefault="00B510E1">
      <w:pPr>
        <w:widowControl w:val="0"/>
        <w:numPr>
          <w:ilvl w:val="0"/>
          <w:numId w:val="1"/>
        </w:numPr>
        <w:spacing w:line="274" w:lineRule="auto"/>
        <w:ind w:right="19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Repertuary językowe umożliwiają uczestnictwo w procesach społecznych. Edukacja językowa w kontekście migracji musi być zatem dostosowana do </w:t>
      </w:r>
      <w:r>
        <w:rPr>
          <w:b/>
          <w:color w:val="000000" w:themeColor="text1"/>
          <w:sz w:val="20"/>
          <w:szCs w:val="20"/>
        </w:rPr>
        <w:t xml:space="preserve">realiów życia migrantów </w:t>
      </w:r>
      <w:r>
        <w:rPr>
          <w:color w:val="000000" w:themeColor="text1"/>
          <w:sz w:val="20"/>
          <w:szCs w:val="20"/>
        </w:rPr>
        <w:t>oraz ich potrzeb zawodowych i codziennych. Znajomość języków obcych musi być oddzielona od k</w:t>
      </w:r>
      <w:r>
        <w:rPr>
          <w:color w:val="000000" w:themeColor="text1"/>
          <w:sz w:val="20"/>
          <w:szCs w:val="20"/>
        </w:rPr>
        <w:t>westii związanych z prawem pobytu i nie może być wymagana jako kluczowy warunek na rynku pracy lub w celu uzyskania świadczeń socjalnych. Język nie może być nadużywany jako narzędzie dyskryminacji.</w:t>
      </w:r>
    </w:p>
    <w:p w:rsidR="00784810" w:rsidRDefault="00B510E1">
      <w:pPr>
        <w:widowControl w:val="0"/>
        <w:numPr>
          <w:ilvl w:val="0"/>
          <w:numId w:val="1"/>
        </w:numPr>
        <w:spacing w:line="274" w:lineRule="auto"/>
        <w:ind w:right="195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Lekcje języka niemieckiego w szkołach</w:t>
      </w:r>
      <w:r>
        <w:rPr>
          <w:color w:val="000000" w:themeColor="text1"/>
          <w:sz w:val="20"/>
          <w:szCs w:val="20"/>
        </w:rPr>
        <w:t xml:space="preserve"> na całym świecie </w:t>
      </w:r>
      <w:r>
        <w:rPr>
          <w:color w:val="000000" w:themeColor="text1"/>
          <w:sz w:val="20"/>
          <w:szCs w:val="20"/>
        </w:rPr>
        <w:t>mus</w:t>
      </w:r>
      <w:r>
        <w:rPr>
          <w:color w:val="000000" w:themeColor="text1"/>
          <w:sz w:val="20"/>
          <w:szCs w:val="20"/>
        </w:rPr>
        <w:t>zą</w:t>
      </w:r>
      <w:r>
        <w:rPr>
          <w:color w:val="000000" w:themeColor="text1"/>
          <w:sz w:val="20"/>
          <w:szCs w:val="20"/>
        </w:rPr>
        <w:t xml:space="preserve"> być zorganizowane w taki sposób, aby </w:t>
      </w:r>
      <w:r>
        <w:rPr>
          <w:b/>
          <w:color w:val="000000" w:themeColor="text1"/>
          <w:sz w:val="20"/>
          <w:szCs w:val="20"/>
        </w:rPr>
        <w:t>cały repertuar językowy</w:t>
      </w:r>
      <w:r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uczennic i </w:t>
      </w:r>
      <w:r>
        <w:rPr>
          <w:color w:val="000000" w:themeColor="text1"/>
          <w:sz w:val="20"/>
          <w:szCs w:val="20"/>
        </w:rPr>
        <w:t>uczniów był wykorzystany jako zasób, a język obcy był łączony z nauką zawodową i przekazywaniem kompetencji interdyscyplinarnych. Programy i cele nauczania muszą być odpowiednio sfo</w:t>
      </w:r>
      <w:r>
        <w:rPr>
          <w:color w:val="000000" w:themeColor="text1"/>
          <w:sz w:val="20"/>
          <w:szCs w:val="20"/>
        </w:rPr>
        <w:t xml:space="preserve">rmułowane, a </w:t>
      </w:r>
      <w:r>
        <w:rPr>
          <w:color w:val="000000" w:themeColor="text1"/>
          <w:sz w:val="20"/>
          <w:szCs w:val="20"/>
        </w:rPr>
        <w:t>wsparcie i kształcenie językowe</w:t>
      </w:r>
      <w:r>
        <w:rPr>
          <w:color w:val="000000" w:themeColor="text1"/>
          <w:sz w:val="20"/>
          <w:szCs w:val="20"/>
        </w:rPr>
        <w:t xml:space="preserve"> muszą być </w:t>
      </w:r>
      <w:r>
        <w:rPr>
          <w:b/>
          <w:color w:val="000000" w:themeColor="text1"/>
          <w:sz w:val="20"/>
          <w:szCs w:val="20"/>
        </w:rPr>
        <w:t>ciągłe</w:t>
      </w:r>
      <w:r>
        <w:rPr>
          <w:color w:val="000000" w:themeColor="text1"/>
          <w:sz w:val="20"/>
          <w:szCs w:val="20"/>
        </w:rPr>
        <w:t xml:space="preserve"> od edukacji przedszkolnej </w:t>
      </w:r>
      <w:r>
        <w:rPr>
          <w:color w:val="000000" w:themeColor="text1"/>
          <w:sz w:val="20"/>
          <w:szCs w:val="20"/>
        </w:rPr>
        <w:t xml:space="preserve">zaczynając, a na zakończeniu nauki w </w:t>
      </w:r>
      <w:r>
        <w:rPr>
          <w:color w:val="000000" w:themeColor="text1"/>
          <w:sz w:val="20"/>
          <w:szCs w:val="20"/>
        </w:rPr>
        <w:lastRenderedPageBreak/>
        <w:t>szkole kończąc</w:t>
      </w:r>
      <w:r>
        <w:rPr>
          <w:color w:val="000000" w:themeColor="text1"/>
          <w:sz w:val="20"/>
          <w:szCs w:val="20"/>
        </w:rPr>
        <w:t>.</w:t>
      </w:r>
    </w:p>
    <w:p w:rsidR="00784810" w:rsidRDefault="00B510E1">
      <w:pPr>
        <w:widowControl w:val="0"/>
        <w:numPr>
          <w:ilvl w:val="0"/>
          <w:numId w:val="1"/>
        </w:numPr>
        <w:spacing w:line="274" w:lineRule="auto"/>
        <w:ind w:right="19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 kontekście szkolnictwa wyższego </w:t>
      </w:r>
      <w:r>
        <w:rPr>
          <w:b/>
          <w:color w:val="000000" w:themeColor="text1"/>
          <w:sz w:val="20"/>
          <w:szCs w:val="20"/>
        </w:rPr>
        <w:t>programy stypendialne</w:t>
      </w:r>
      <w:r>
        <w:rPr>
          <w:color w:val="000000" w:themeColor="text1"/>
          <w:sz w:val="20"/>
          <w:szCs w:val="20"/>
        </w:rPr>
        <w:t xml:space="preserve"> i </w:t>
      </w:r>
      <w:r>
        <w:rPr>
          <w:b/>
          <w:color w:val="000000" w:themeColor="text1"/>
          <w:sz w:val="20"/>
          <w:szCs w:val="20"/>
        </w:rPr>
        <w:t>finansowanie badań naukowych</w:t>
      </w:r>
      <w:r>
        <w:rPr>
          <w:color w:val="000000" w:themeColor="text1"/>
          <w:sz w:val="20"/>
          <w:szCs w:val="20"/>
        </w:rPr>
        <w:t xml:space="preserve"> powinny być wspierane przez </w:t>
      </w:r>
      <w:r>
        <w:rPr>
          <w:color w:val="000000" w:themeColor="text1"/>
          <w:sz w:val="20"/>
          <w:szCs w:val="20"/>
        </w:rPr>
        <w:t xml:space="preserve">państwo w celu zwiększenia mobilności i możliwości współpracy </w:t>
      </w:r>
      <w:r>
        <w:rPr>
          <w:color w:val="000000" w:themeColor="text1"/>
          <w:sz w:val="20"/>
          <w:szCs w:val="20"/>
        </w:rPr>
        <w:br/>
      </w:r>
    </w:p>
    <w:p w:rsidR="00784810" w:rsidRDefault="00B510E1">
      <w:pPr>
        <w:widowControl w:val="0"/>
        <w:spacing w:line="240" w:lineRule="auto"/>
        <w:ind w:right="41"/>
        <w:jc w:val="right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</w:rPr>
        <w:drawing>
          <wp:inline distT="19050" distB="19050" distL="19050" distR="19050">
            <wp:extent cx="880745" cy="6254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1133" cy="625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810" w:rsidRDefault="00784810">
      <w:pPr>
        <w:widowControl w:val="0"/>
        <w:spacing w:before="17" w:line="274" w:lineRule="auto"/>
        <w:ind w:left="720" w:right="195"/>
        <w:rPr>
          <w:color w:val="000000" w:themeColor="text1"/>
          <w:sz w:val="20"/>
          <w:szCs w:val="20"/>
        </w:rPr>
      </w:pPr>
    </w:p>
    <w:p w:rsidR="00784810" w:rsidRDefault="00784810">
      <w:pPr>
        <w:widowControl w:val="0"/>
        <w:spacing w:before="17" w:line="274" w:lineRule="auto"/>
        <w:ind w:left="720" w:right="195"/>
        <w:rPr>
          <w:color w:val="000000" w:themeColor="text1"/>
          <w:sz w:val="20"/>
          <w:szCs w:val="20"/>
        </w:rPr>
      </w:pPr>
    </w:p>
    <w:p w:rsidR="00784810" w:rsidRDefault="00784810">
      <w:pPr>
        <w:widowControl w:val="0"/>
        <w:spacing w:before="17" w:line="274" w:lineRule="auto"/>
        <w:ind w:left="720" w:right="195"/>
        <w:rPr>
          <w:color w:val="000000" w:themeColor="text1"/>
          <w:sz w:val="20"/>
          <w:szCs w:val="20"/>
        </w:rPr>
      </w:pPr>
    </w:p>
    <w:p w:rsidR="00784810" w:rsidRDefault="00B510E1">
      <w:pPr>
        <w:widowControl w:val="0"/>
        <w:spacing w:before="17" w:line="274" w:lineRule="auto"/>
        <w:ind w:left="720" w:right="19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studentów, nauczycieli i badaczy, którzy przyczyniają się w znacznym stopniu do udanej nauki języków obcych. Bez względu na pochodzenie społeczno-ekonomiczne osoby te muszą mieć dostęp do</w:t>
      </w:r>
      <w:r>
        <w:rPr>
          <w:color w:val="000000" w:themeColor="text1"/>
          <w:sz w:val="20"/>
          <w:szCs w:val="20"/>
        </w:rPr>
        <w:t xml:space="preserve"> pożądanych ofert studiów i badań naukowych, w szczególności w przypadku pobytów w krajach niemieckojęzycznych.</w:t>
      </w:r>
    </w:p>
    <w:p w:rsidR="00784810" w:rsidRDefault="00B510E1">
      <w:pPr>
        <w:widowControl w:val="0"/>
        <w:numPr>
          <w:ilvl w:val="0"/>
          <w:numId w:val="1"/>
        </w:numPr>
        <w:spacing w:before="17" w:line="274" w:lineRule="auto"/>
        <w:ind w:right="19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Polityka (edukacyjna) nie może </w:t>
      </w:r>
      <w:r>
        <w:rPr>
          <w:color w:val="000000" w:themeColor="text1"/>
          <w:sz w:val="20"/>
          <w:szCs w:val="20"/>
        </w:rPr>
        <w:t xml:space="preserve">w odniesieniu do </w:t>
      </w:r>
      <w:r>
        <w:rPr>
          <w:b/>
          <w:color w:val="000000" w:themeColor="text1"/>
          <w:sz w:val="20"/>
          <w:szCs w:val="20"/>
        </w:rPr>
        <w:t>badań</w:t>
      </w:r>
      <w:r>
        <w:rPr>
          <w:color w:val="000000" w:themeColor="text1"/>
          <w:sz w:val="20"/>
          <w:szCs w:val="20"/>
        </w:rPr>
        <w:t xml:space="preserve"> ani ich ograniczać</w:t>
      </w:r>
      <w:r>
        <w:rPr>
          <w:color w:val="000000" w:themeColor="text1"/>
          <w:sz w:val="20"/>
          <w:szCs w:val="20"/>
        </w:rPr>
        <w:t>, ani pobierać za nie żadnych opłat</w:t>
      </w:r>
      <w:r>
        <w:rPr>
          <w:color w:val="000000" w:themeColor="text1"/>
          <w:sz w:val="20"/>
          <w:szCs w:val="20"/>
        </w:rPr>
        <w:t xml:space="preserve">. </w:t>
      </w:r>
      <w:r>
        <w:rPr>
          <w:b/>
          <w:bCs/>
          <w:color w:val="000000" w:themeColor="text1"/>
          <w:sz w:val="20"/>
          <w:szCs w:val="20"/>
        </w:rPr>
        <w:t>W</w:t>
      </w:r>
      <w:r>
        <w:rPr>
          <w:b/>
          <w:color w:val="000000" w:themeColor="text1"/>
          <w:sz w:val="20"/>
          <w:szCs w:val="20"/>
        </w:rPr>
        <w:t>olność</w:t>
      </w:r>
      <w:r>
        <w:rPr>
          <w:color w:val="000000" w:themeColor="text1"/>
          <w:sz w:val="20"/>
          <w:szCs w:val="20"/>
        </w:rPr>
        <w:t xml:space="preserve"> i </w:t>
      </w:r>
      <w:r>
        <w:rPr>
          <w:b/>
          <w:color w:val="000000" w:themeColor="text1"/>
          <w:sz w:val="20"/>
          <w:szCs w:val="20"/>
        </w:rPr>
        <w:t>różnorodność</w:t>
      </w:r>
      <w:r>
        <w:rPr>
          <w:color w:val="000000" w:themeColor="text1"/>
          <w:sz w:val="20"/>
          <w:szCs w:val="20"/>
        </w:rPr>
        <w:t xml:space="preserve"> w dziedzinie</w:t>
      </w:r>
      <w:r>
        <w:rPr>
          <w:color w:val="000000" w:themeColor="text1"/>
          <w:sz w:val="20"/>
          <w:szCs w:val="20"/>
        </w:rPr>
        <w:t xml:space="preserve"> DaF/DaZ muszą być zagwarantowane. Wyniki badań nad DaF/DaZ muszą być postrzegane przez politykę (edukacyjną) i przełożone na odpowiednie działania. Należy wspierać transdyscyplinarną i międzynarodową współpracę w dziedzinie badań, jak również otwarcie kom</w:t>
      </w:r>
      <w:r>
        <w:rPr>
          <w:color w:val="000000" w:themeColor="text1"/>
          <w:sz w:val="20"/>
          <w:szCs w:val="20"/>
        </w:rPr>
        <w:t>unikacji naukowej na światową społeczność ekspertów i ogół społeczeństwa.</w:t>
      </w:r>
    </w:p>
    <w:p w:rsidR="00784810" w:rsidRDefault="00B510E1">
      <w:pPr>
        <w:widowControl w:val="0"/>
        <w:numPr>
          <w:ilvl w:val="0"/>
          <w:numId w:val="1"/>
        </w:numPr>
        <w:spacing w:line="274" w:lineRule="auto"/>
        <w:ind w:right="195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N</w:t>
      </w:r>
      <w:r>
        <w:rPr>
          <w:b/>
          <w:color w:val="000000" w:themeColor="text1"/>
          <w:sz w:val="20"/>
          <w:szCs w:val="20"/>
        </w:rPr>
        <w:t>auczycielki i n</w:t>
      </w:r>
      <w:r>
        <w:rPr>
          <w:b/>
          <w:color w:val="000000" w:themeColor="text1"/>
          <w:sz w:val="20"/>
          <w:szCs w:val="20"/>
        </w:rPr>
        <w:t>auczyciele</w:t>
      </w:r>
      <w:r>
        <w:rPr>
          <w:color w:val="000000" w:themeColor="text1"/>
          <w:sz w:val="20"/>
          <w:szCs w:val="20"/>
        </w:rPr>
        <w:t xml:space="preserve"> na całym świecie muszą mieć </w:t>
      </w:r>
      <w:r>
        <w:rPr>
          <w:b/>
          <w:color w:val="000000" w:themeColor="text1"/>
          <w:sz w:val="20"/>
          <w:szCs w:val="20"/>
        </w:rPr>
        <w:t xml:space="preserve">dostęp do wysokiej jakości ofert </w:t>
      </w:r>
      <w:r>
        <w:rPr>
          <w:b/>
          <w:color w:val="000000" w:themeColor="text1"/>
          <w:sz w:val="20"/>
          <w:szCs w:val="20"/>
        </w:rPr>
        <w:t>doskonalenia</w:t>
      </w:r>
      <w:r>
        <w:rPr>
          <w:color w:val="000000" w:themeColor="text1"/>
          <w:sz w:val="20"/>
          <w:szCs w:val="20"/>
        </w:rPr>
        <w:t xml:space="preserve">, które spełniają wysokie standardy jakości i uwzględniają najnowsze osiągnięcia w tej dziedzinie, a także regionalne i instytucjonalne różnice kulturowe w nauczaniu i uczeniu się. Różnice w uwarunkowaniach finansowych nie mogą stanowić </w:t>
      </w:r>
      <w:r>
        <w:rPr>
          <w:color w:val="000000" w:themeColor="text1"/>
          <w:sz w:val="20"/>
          <w:szCs w:val="20"/>
        </w:rPr>
        <w:t>ż</w:t>
      </w:r>
      <w:r>
        <w:rPr>
          <w:color w:val="000000" w:themeColor="text1"/>
          <w:sz w:val="20"/>
          <w:szCs w:val="20"/>
        </w:rPr>
        <w:t xml:space="preserve">adnej </w:t>
      </w:r>
      <w:r>
        <w:rPr>
          <w:color w:val="000000" w:themeColor="text1"/>
          <w:sz w:val="20"/>
          <w:szCs w:val="20"/>
        </w:rPr>
        <w:t xml:space="preserve">przeszkody. </w:t>
      </w:r>
      <w:r>
        <w:rPr>
          <w:color w:val="000000" w:themeColor="text1"/>
          <w:sz w:val="20"/>
          <w:szCs w:val="20"/>
        </w:rPr>
        <w:t xml:space="preserve">Uczestniczenie w ofertach </w:t>
      </w:r>
      <w:r>
        <w:rPr>
          <w:color w:val="000000" w:themeColor="text1"/>
          <w:sz w:val="20"/>
          <w:szCs w:val="20"/>
        </w:rPr>
        <w:t>doskonalenia</w:t>
      </w:r>
      <w:r>
        <w:rPr>
          <w:color w:val="000000" w:themeColor="text1"/>
          <w:sz w:val="20"/>
          <w:szCs w:val="20"/>
        </w:rPr>
        <w:t xml:space="preserve"> powinno być wspierane za pomocą wszelkich możliwych środków oraz uznawane i doceniane w kontekście zawodowym.</w:t>
      </w:r>
    </w:p>
    <w:p w:rsidR="00784810" w:rsidRDefault="00B510E1">
      <w:pPr>
        <w:widowControl w:val="0"/>
        <w:numPr>
          <w:ilvl w:val="0"/>
          <w:numId w:val="1"/>
        </w:numPr>
        <w:spacing w:line="274" w:lineRule="auto"/>
        <w:ind w:right="19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Należy poprawić </w:t>
      </w:r>
      <w:r>
        <w:rPr>
          <w:b/>
          <w:color w:val="000000" w:themeColor="text1"/>
          <w:sz w:val="20"/>
          <w:szCs w:val="20"/>
        </w:rPr>
        <w:t>warunki pracy nauczycieli</w:t>
      </w:r>
      <w:r>
        <w:rPr>
          <w:color w:val="000000" w:themeColor="text1"/>
          <w:sz w:val="20"/>
          <w:szCs w:val="20"/>
        </w:rPr>
        <w:t xml:space="preserve"> w placówkach oświatowych i pozaszkolnych. Należy zapewnić odpowiednie wynagrodzenie, zbilansowany stosunek między </w:t>
      </w:r>
      <w:r>
        <w:rPr>
          <w:color w:val="000000" w:themeColor="text1"/>
          <w:sz w:val="20"/>
          <w:szCs w:val="20"/>
        </w:rPr>
        <w:t>prowadzenia zajęć,</w:t>
      </w:r>
      <w:r>
        <w:rPr>
          <w:color w:val="000000" w:themeColor="text1"/>
          <w:sz w:val="20"/>
          <w:szCs w:val="20"/>
        </w:rPr>
        <w:t xml:space="preserve"> a czasem </w:t>
      </w:r>
      <w:r>
        <w:rPr>
          <w:color w:val="000000" w:themeColor="text1"/>
          <w:sz w:val="20"/>
          <w:szCs w:val="20"/>
        </w:rPr>
        <w:t xml:space="preserve">ich </w:t>
      </w:r>
      <w:r>
        <w:rPr>
          <w:color w:val="000000" w:themeColor="text1"/>
          <w:sz w:val="20"/>
          <w:szCs w:val="20"/>
        </w:rPr>
        <w:t>przygotow</w:t>
      </w:r>
      <w:r>
        <w:rPr>
          <w:color w:val="000000" w:themeColor="text1"/>
          <w:sz w:val="20"/>
          <w:szCs w:val="20"/>
        </w:rPr>
        <w:t>yw</w:t>
      </w:r>
      <w:r>
        <w:rPr>
          <w:color w:val="000000" w:themeColor="text1"/>
          <w:sz w:val="20"/>
          <w:szCs w:val="20"/>
        </w:rPr>
        <w:t>ania, jak również czasem zatrudnienia, z perspektywami długoterminowymi i dodatkowymi możliwościam</w:t>
      </w:r>
      <w:r>
        <w:rPr>
          <w:color w:val="000000" w:themeColor="text1"/>
          <w:sz w:val="20"/>
          <w:szCs w:val="20"/>
        </w:rPr>
        <w:t>i podnoszenia kwalifikacji.</w:t>
      </w:r>
    </w:p>
    <w:p w:rsidR="00784810" w:rsidRDefault="00B510E1">
      <w:pPr>
        <w:widowControl w:val="0"/>
        <w:numPr>
          <w:ilvl w:val="0"/>
          <w:numId w:val="1"/>
        </w:numPr>
        <w:spacing w:line="274" w:lineRule="auto"/>
        <w:ind w:right="195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Cyfrowa transformacja</w:t>
      </w:r>
      <w:r>
        <w:rPr>
          <w:color w:val="000000" w:themeColor="text1"/>
          <w:sz w:val="20"/>
          <w:szCs w:val="20"/>
        </w:rPr>
        <w:t xml:space="preserve"> otworzyła wiele nowych możliwości w uczeniu się i nauczaniu języków, np. w nauczaniu stacjonarnym, podczas samodzielnego uczenia się i w wirtualnej klasie. Cyfryzacja ułatwia również współpracę międzynarodo</w:t>
      </w:r>
      <w:r>
        <w:rPr>
          <w:color w:val="000000" w:themeColor="text1"/>
          <w:sz w:val="20"/>
          <w:szCs w:val="20"/>
        </w:rPr>
        <w:t xml:space="preserve">wą w dziedzinie badań naukowych i polityki językowej. Oferty cyfrowe nie mogą jednak zastąpić wymiany podczas spotkań </w:t>
      </w:r>
      <w:r>
        <w:rPr>
          <w:color w:val="000000" w:themeColor="text1"/>
          <w:sz w:val="20"/>
          <w:szCs w:val="20"/>
        </w:rPr>
        <w:t>stacjonarnych</w:t>
      </w:r>
      <w:r>
        <w:rPr>
          <w:color w:val="000000" w:themeColor="text1"/>
          <w:sz w:val="20"/>
          <w:szCs w:val="20"/>
        </w:rPr>
        <w:t xml:space="preserve"> i nie mogą prowadzić do zmniejszenia </w:t>
      </w:r>
      <w:r>
        <w:rPr>
          <w:color w:val="000000" w:themeColor="text1"/>
          <w:sz w:val="20"/>
          <w:szCs w:val="20"/>
        </w:rPr>
        <w:t>lokalnych</w:t>
      </w:r>
      <w:r>
        <w:rPr>
          <w:color w:val="000000" w:themeColor="text1"/>
          <w:sz w:val="20"/>
          <w:szCs w:val="20"/>
        </w:rPr>
        <w:t xml:space="preserve"> zasobów ludzkich. Aby cyfryzacja nie pogłębiła już istniejących dysproporcji,</w:t>
      </w:r>
      <w:r>
        <w:rPr>
          <w:color w:val="000000" w:themeColor="text1"/>
          <w:sz w:val="20"/>
          <w:szCs w:val="20"/>
        </w:rPr>
        <w:t xml:space="preserve"> należy zapewnić wszystkim dostęp do świata cyfrowego, np. poprzez odpowiednie wyposażenie techniczne oraz szkolenia.</w:t>
      </w:r>
    </w:p>
    <w:p w:rsidR="00784810" w:rsidRDefault="00B510E1">
      <w:pPr>
        <w:widowControl w:val="0"/>
        <w:numPr>
          <w:ilvl w:val="0"/>
          <w:numId w:val="1"/>
        </w:numPr>
        <w:spacing w:line="274" w:lineRule="auto"/>
        <w:ind w:right="19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Nauka języka niemieckiego jest rozumiana jako </w:t>
      </w:r>
      <w:r>
        <w:rPr>
          <w:color w:val="000000" w:themeColor="text1"/>
          <w:sz w:val="20"/>
          <w:szCs w:val="20"/>
        </w:rPr>
        <w:t>kształcenie językowe</w:t>
      </w:r>
      <w:r>
        <w:rPr>
          <w:color w:val="000000" w:themeColor="text1"/>
          <w:sz w:val="20"/>
          <w:szCs w:val="20"/>
        </w:rPr>
        <w:t>, któr</w:t>
      </w:r>
      <w:r>
        <w:rPr>
          <w:color w:val="000000" w:themeColor="text1"/>
          <w:sz w:val="20"/>
          <w:szCs w:val="20"/>
        </w:rPr>
        <w:t>e</w:t>
      </w:r>
      <w:r>
        <w:rPr>
          <w:color w:val="000000" w:themeColor="text1"/>
          <w:sz w:val="20"/>
          <w:szCs w:val="20"/>
        </w:rPr>
        <w:t xml:space="preserve"> obejmuje również naukę refleksyjną pod względem estetycznym i ku</w:t>
      </w:r>
      <w:r>
        <w:rPr>
          <w:color w:val="000000" w:themeColor="text1"/>
          <w:sz w:val="20"/>
          <w:szCs w:val="20"/>
        </w:rPr>
        <w:t xml:space="preserve">lturowym, a także pozwala zająć się zrównoważonym stylem życia, prawami człowieka i równouprawnieniem płci. Uczenie się języków ma na celu promowanie </w:t>
      </w:r>
      <w:r>
        <w:rPr>
          <w:b/>
          <w:color w:val="000000" w:themeColor="text1"/>
          <w:sz w:val="20"/>
          <w:szCs w:val="20"/>
        </w:rPr>
        <w:t>kultury pokoju i niestosowania przemocy</w:t>
      </w:r>
      <w:r>
        <w:rPr>
          <w:color w:val="000000" w:themeColor="text1"/>
          <w:sz w:val="20"/>
          <w:szCs w:val="20"/>
        </w:rPr>
        <w:t xml:space="preserve"> oraz docenianie różnorodności kulturowej poprzez rozwijanie umieję</w:t>
      </w:r>
      <w:r>
        <w:rPr>
          <w:color w:val="000000" w:themeColor="text1"/>
          <w:sz w:val="20"/>
          <w:szCs w:val="20"/>
        </w:rPr>
        <w:t xml:space="preserve">tności dyskursu. W ten sposób nauka języków przyczynia się do </w:t>
      </w:r>
      <w:r>
        <w:rPr>
          <w:b/>
          <w:color w:val="000000" w:themeColor="text1"/>
          <w:sz w:val="20"/>
          <w:szCs w:val="20"/>
        </w:rPr>
        <w:t>zrównoważonego rozwoju</w:t>
      </w:r>
      <w:r>
        <w:rPr>
          <w:color w:val="000000" w:themeColor="text1"/>
          <w:sz w:val="20"/>
          <w:szCs w:val="20"/>
        </w:rPr>
        <w:t xml:space="preserve"> i umacnia postawę kosmopolityczną.</w:t>
      </w:r>
    </w:p>
    <w:p w:rsidR="00784810" w:rsidRDefault="00B510E1">
      <w:pPr>
        <w:widowControl w:val="0"/>
        <w:spacing w:before="11"/>
        <w:ind w:left="427" w:right="120" w:hanging="423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</w:t>
      </w:r>
    </w:p>
    <w:p w:rsidR="00784810" w:rsidRDefault="00B510E1">
      <w:pPr>
        <w:widowControl w:val="0"/>
        <w:spacing w:before="16" w:line="274" w:lineRule="auto"/>
        <w:ind w:right="100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Polityka językowa</w:t>
      </w:r>
      <w:r>
        <w:rPr>
          <w:color w:val="000000" w:themeColor="text1"/>
          <w:sz w:val="20"/>
          <w:szCs w:val="20"/>
        </w:rPr>
        <w:t xml:space="preserve"> musi być ustanowiona </w:t>
      </w:r>
      <w:r>
        <w:rPr>
          <w:b/>
          <w:color w:val="000000" w:themeColor="text1"/>
          <w:sz w:val="20"/>
          <w:szCs w:val="20"/>
        </w:rPr>
        <w:t>jako odrębna dziedzina polityki</w:t>
      </w:r>
      <w:r>
        <w:rPr>
          <w:color w:val="000000" w:themeColor="text1"/>
          <w:sz w:val="20"/>
          <w:szCs w:val="20"/>
        </w:rPr>
        <w:t xml:space="preserve">, która ma równą pozycję w dyskusjach z innymi dziedzinami polityki i nie jest postrzegana </w:t>
      </w:r>
      <w:r>
        <w:rPr>
          <w:color w:val="000000" w:themeColor="text1"/>
          <w:sz w:val="20"/>
          <w:szCs w:val="20"/>
        </w:rPr>
        <w:t xml:space="preserve">jak dotychczas </w:t>
      </w:r>
      <w:r>
        <w:rPr>
          <w:color w:val="000000" w:themeColor="text1"/>
          <w:sz w:val="20"/>
          <w:szCs w:val="20"/>
        </w:rPr>
        <w:t>jako kwestia przekrojowa</w:t>
      </w:r>
      <w:r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 xml:space="preserve"> Ustanowienie i kształtowanie polityki językowej jako odrębnej dziedziny polityki leży w gestii poszczególnych państw, instyt</w:t>
      </w:r>
      <w:r>
        <w:rPr>
          <w:color w:val="000000" w:themeColor="text1"/>
          <w:sz w:val="20"/>
          <w:szCs w:val="20"/>
        </w:rPr>
        <w:t xml:space="preserve">ucji i sieci </w:t>
      </w:r>
      <w:r>
        <w:rPr>
          <w:color w:val="000000" w:themeColor="text1"/>
          <w:sz w:val="20"/>
          <w:szCs w:val="20"/>
        </w:rPr>
        <w:t>ponadpaństwowych</w:t>
      </w:r>
      <w:r>
        <w:rPr>
          <w:color w:val="000000" w:themeColor="text1"/>
          <w:sz w:val="20"/>
          <w:szCs w:val="20"/>
        </w:rPr>
        <w:t xml:space="preserve"> i pozarządowych, zawsze w oparciu o wielojęzyczność społeczną i indywidualną oraz cel uczestnictwa.</w:t>
      </w:r>
    </w:p>
    <w:p w:rsidR="00784810" w:rsidRDefault="00784810">
      <w:pPr>
        <w:widowControl w:val="0"/>
        <w:spacing w:before="11" w:line="275" w:lineRule="auto"/>
        <w:ind w:left="436" w:right="160" w:hanging="418"/>
        <w:rPr>
          <w:color w:val="000000" w:themeColor="text1"/>
          <w:sz w:val="20"/>
          <w:szCs w:val="20"/>
        </w:rPr>
      </w:pPr>
    </w:p>
    <w:sectPr w:rsidR="00784810">
      <w:pgSz w:w="11900" w:h="16820"/>
      <w:pgMar w:top="720" w:right="1082" w:bottom="1635" w:left="113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0E1" w:rsidRDefault="00B510E1">
      <w:pPr>
        <w:spacing w:line="240" w:lineRule="auto"/>
      </w:pPr>
      <w:r>
        <w:separator/>
      </w:r>
    </w:p>
  </w:endnote>
  <w:endnote w:type="continuationSeparator" w:id="0">
    <w:p w:rsidR="00B510E1" w:rsidRDefault="00B510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0E1" w:rsidRDefault="00B510E1">
      <w:r>
        <w:separator/>
      </w:r>
    </w:p>
  </w:footnote>
  <w:footnote w:type="continuationSeparator" w:id="0">
    <w:p w:rsidR="00B510E1" w:rsidRDefault="00B51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10"/>
    <w:rsid w:val="00406BF2"/>
    <w:rsid w:val="00784810"/>
    <w:rsid w:val="00B510E1"/>
    <w:rsid w:val="4E124462"/>
    <w:rsid w:val="6E63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54FC2-E5E3-40F6-BC4B-0B497AD6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</dc:creator>
  <cp:lastModifiedBy>Biblioteka</cp:lastModifiedBy>
  <cp:revision>2</cp:revision>
  <dcterms:created xsi:type="dcterms:W3CDTF">2024-01-09T07:49:00Z</dcterms:created>
  <dcterms:modified xsi:type="dcterms:W3CDTF">2024-01-09T07:49:00Z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D129E7EA2F134758A52F3F9566E25E1F_13</vt:lpwstr>
  </property>
</Properties>
</file>